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臺北市立大直高級中學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en-US"/>
        </w:rPr>
        <w:t>110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學年度第一學期</w:t>
      </w:r>
    </w:p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國中部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表演藝術</w:t>
      </w:r>
      <w:r>
        <w:rPr>
          <w:rFonts w:ascii="微軟正黑體" w:cs="微軟正黑體" w:hAnsi="微軟正黑體" w:eastAsia="微軟正黑體"/>
          <w:b w:val="1"/>
          <w:bCs w:val="1"/>
          <w:sz w:val="36"/>
          <w:szCs w:val="36"/>
          <w:rtl w:val="0"/>
          <w:lang w:val="zh-TW" w:eastAsia="zh-TW"/>
        </w:rPr>
        <w:t>科教學活動計畫書</w:t>
      </w:r>
    </w:p>
    <w:tbl>
      <w:tblPr>
        <w:tblW w:w="1040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1"/>
        <w:gridCol w:w="2835"/>
        <w:gridCol w:w="1700"/>
        <w:gridCol w:w="3216"/>
      </w:tblGrid>
      <w:tr>
        <w:tblPrEx>
          <w:shd w:val="clear" w:color="auto" w:fill="ced7e7"/>
        </w:tblPrEx>
        <w:trPr>
          <w:trHeight w:val="675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任教班級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902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903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905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908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、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909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微軟正黑體" w:cs="微軟正黑體" w:hAnsi="微軟正黑體" w:eastAsia="微軟正黑體"/>
                <w:b w:val="1"/>
                <w:bCs w:val="1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任課老師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董璘</w:t>
            </w:r>
          </w:p>
        </w:tc>
      </w:tr>
      <w:tr>
        <w:tblPrEx>
          <w:shd w:val="clear" w:color="auto" w:fill="ced7e7"/>
        </w:tblPrEx>
        <w:trPr>
          <w:trHeight w:val="1870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b w:val="1"/>
                <w:bCs w:val="1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  <w14:textOutline>
                  <w14:noFill/>
                </w14:textOutline>
              </w:rPr>
              <w:t>教學目標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引導並鼓勵對音樂劇的喜愛。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培養欣賞音樂劇的能力與習慣。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40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發展演唱與表演之技能。</w:t>
            </w:r>
          </w:p>
        </w:tc>
      </w:tr>
      <w:tr>
        <w:tblPrEx>
          <w:shd w:val="clear" w:color="auto" w:fill="ced7e7"/>
        </w:tblPrEx>
        <w:trPr>
          <w:trHeight w:val="965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3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b w:val="1"/>
                <w:bCs w:val="1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  <w14:textOutline>
                  <w14:noFill/>
                </w14:textOutline>
              </w:rPr>
              <w:t>教材內容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ff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康軒出版社之藝術與人文課本</w:t>
            </w:r>
          </w:p>
        </w:tc>
      </w:tr>
      <w:tr>
        <w:tblPrEx>
          <w:shd w:val="clear" w:color="auto" w:fill="ced7e7"/>
        </w:tblPrEx>
        <w:trPr>
          <w:trHeight w:val="681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5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b w:val="1"/>
                <w:bCs w:val="1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  <w14:textOutline>
                  <w14:noFill/>
                </w14:textOutline>
              </w:rPr>
              <w:t>作業內容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無</w:t>
            </w:r>
          </w:p>
        </w:tc>
      </w:tr>
      <w:tr>
        <w:tblPrEx>
          <w:shd w:val="clear" w:color="auto" w:fill="ced7e7"/>
        </w:tblPrEx>
        <w:trPr>
          <w:trHeight w:val="1115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7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b w:val="1"/>
                <w:bCs w:val="1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  <w14:textOutline>
                  <w14:noFill/>
                </w14:textOutline>
              </w:rPr>
              <w:t>平時成績評量方法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表演及演唱</w:t>
            </w:r>
          </w:p>
        </w:tc>
      </w:tr>
      <w:tr>
        <w:tblPrEx>
          <w:shd w:val="clear" w:color="auto" w:fill="ced7e7"/>
        </w:tblPrEx>
        <w:trPr>
          <w:trHeight w:val="1505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9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b w:val="1"/>
                <w:bCs w:val="1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  <w14:textOutline>
                  <w14:noFill/>
                </w14:textOutline>
              </w:rPr>
              <w:t>學期成績計算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表演及演唱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(50%):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包含舞台動作及唱歌。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筆試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(10%):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學生經由教師依能力指標、教材內容所編定之測驗評量之。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學習態度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(40%):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分組合作、上課表現及欣賞能力。</w:t>
            </w:r>
          </w:p>
        </w:tc>
      </w:tr>
      <w:tr>
        <w:tblPrEx>
          <w:shd w:val="clear" w:color="auto" w:fill="ced7e7"/>
        </w:tblPrEx>
        <w:trPr>
          <w:trHeight w:val="3042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1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b w:val="1"/>
                <w:bCs w:val="1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  <w14:textOutline>
                  <w14:noFill/>
                </w14:textOutline>
              </w:rPr>
              <w:t>個人教學理念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音樂劇綜合了表演，音樂，繪畫等綜合型態的藝術呈現，相對平易近人且容易取得，是一個增進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藝術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欣賞能力的有效方式，本課程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鼓勵孩子以日常接觸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喜愛的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音樂劇題材作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為出發點，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培養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學生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對藝術的整體欣賞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能力，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引導學生從動人的故事情節，優美動聽的樂曲，深刻的表演呈現，豐富的舞台設計，場景轉換與構圖各種面向，來喜愛表演藝術，產生樂趣，進而達到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有效率的學習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並創作的目的。</w:t>
            </w:r>
          </w:p>
        </w:tc>
      </w:tr>
      <w:tr>
        <w:tblPrEx>
          <w:shd w:val="clear" w:color="auto" w:fill="ced7e7"/>
        </w:tblPrEx>
        <w:trPr>
          <w:trHeight w:val="1430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6"/>
              <w:bottom w:type="dxa" w:w="80"/>
              <w:right w:type="dxa" w:w="80"/>
            </w:tcMar>
            <w:vAlign w:val="center"/>
          </w:tcPr>
          <w:p>
            <w:pPr>
              <w:pStyle w:val="內文 A"/>
              <w:numPr>
                <w:ilvl w:val="0"/>
                <w:numId w:val="13"/>
              </w:numPr>
              <w:spacing w:line="500" w:lineRule="exact"/>
              <w:jc w:val="both"/>
              <w:rPr>
                <w:rFonts w:ascii="微軟正黑體" w:cs="微軟正黑體" w:hAnsi="微軟正黑體" w:eastAsia="微軟正黑體"/>
                <w:b w:val="1"/>
                <w:bCs w:val="1"/>
                <w:lang w:val="zh-TW" w:eastAsia="zh-TW"/>
                <w14:textOutline>
                  <w14:noFill/>
                </w14:textOutline>
              </w:rPr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  <w14:textOutline>
                  <w14:noFill/>
                </w14:textOutline>
              </w:rPr>
              <w:t>擬請家長協助事項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帶領並陪伴孩子參與各類型藝術活動（例如展覽，音樂會，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舞台劇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zh-TW" w:eastAsia="zh-TW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等），增加親子互動也培養孩子體驗生活中音樂與藝術活動帶來的樂趣。</w:t>
            </w:r>
          </w:p>
        </w:tc>
      </w:tr>
      <w:tr>
        <w:tblPrEx>
          <w:shd w:val="clear" w:color="auto" w:fill="ced7e7"/>
        </w:tblPrEx>
        <w:trPr>
          <w:trHeight w:val="691" w:hRule="exact"/>
        </w:trPr>
        <w:tc>
          <w:tcPr>
            <w:tcW w:type="dxa" w:w="26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微軟正黑體" w:cs="微軟正黑體" w:hAnsi="微軟正黑體" w:eastAsia="微軟正黑體"/>
                <w:b w:val="1"/>
                <w:bCs w:val="1"/>
                <w:rtl w:val="0"/>
                <w:lang w:val="zh-TW" w:eastAsia="zh-TW"/>
              </w:rPr>
              <w:t>八、聯絡方式</w:t>
            </w:r>
          </w:p>
        </w:tc>
        <w:tc>
          <w:tcPr>
            <w:tcW w:type="dxa" w:w="77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25334017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分機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374</w:t>
            </w:r>
          </w:p>
        </w:tc>
      </w:tr>
    </w:tbl>
    <w:p>
      <w:pPr>
        <w:pStyle w:val="問候"/>
        <w:jc w:val="center"/>
        <w:rPr>
          <w:rFonts w:ascii="微軟正黑體" w:cs="微軟正黑體" w:hAnsi="微軟正黑體" w:eastAsia="微軟正黑體"/>
          <w:b w:val="1"/>
          <w:bCs w:val="1"/>
          <w:sz w:val="36"/>
          <w:szCs w:val="36"/>
        </w:rPr>
      </w:pPr>
    </w:p>
    <w:p>
      <w:pPr>
        <w:pStyle w:val="內文 A"/>
        <w:jc w:val="center"/>
        <w:sectPr>
          <w:headerReference w:type="default" r:id="rId4"/>
          <w:footerReference w:type="default" r:id="rId5"/>
          <w:pgSz w:w="11900" w:h="16840" w:orient="portrait"/>
          <w:pgMar w:top="284" w:right="284" w:bottom="284" w:left="284" w:header="851" w:footer="219"/>
          <w:bidi w:val="0"/>
        </w:sectPr>
      </w:pPr>
    </w:p>
    <w:p>
      <w:pPr>
        <w:pStyle w:val="內文 A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  <w:lang w:val="zh-TW" w:eastAsia="zh-TW"/>
        </w:rPr>
      </w:pPr>
      <w:r>
        <w:rPr>
          <w:rFonts w:ascii="微軟正黑體" w:cs="微軟正黑體" w:hAnsi="微軟正黑體" w:eastAsia="微軟正黑體"/>
          <w:b w:val="1"/>
          <w:bCs w:val="1"/>
          <w:sz w:val="32"/>
          <w:szCs w:val="32"/>
          <w:rtl w:val="0"/>
          <w:lang w:val="zh-TW" w:eastAsia="zh-TW"/>
        </w:rPr>
        <w:t>【教學進度表】</w:t>
      </w:r>
    </w:p>
    <w:p>
      <w:pPr>
        <w:pStyle w:val="內文 A"/>
        <w:spacing w:line="400" w:lineRule="exact"/>
        <w:jc w:val="center"/>
        <w:rPr>
          <w:rFonts w:ascii="微軟正黑體" w:cs="微軟正黑體" w:hAnsi="微軟正黑體" w:eastAsia="微軟正黑體"/>
          <w:b w:val="1"/>
          <w:bCs w:val="1"/>
          <w:sz w:val="32"/>
          <w:szCs w:val="32"/>
        </w:rPr>
      </w:pP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en-US"/>
        </w:rPr>
        <w:t>(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zh-TW" w:eastAsia="zh-TW"/>
        </w:rPr>
        <w:t>請特別確認各單元是否有議題融入，比如是否有</w:t>
      </w:r>
      <w:r>
        <w:rPr>
          <w:rFonts w:ascii="微軟正黑體" w:cs="微軟正黑體" w:hAnsi="微軟正黑體" w:eastAsia="微軟正黑體"/>
          <w:b w:val="1"/>
          <w:bCs w:val="1"/>
          <w:u w:val="double"/>
          <w:shd w:val="clear" w:color="auto" w:fill="ffff00"/>
          <w:rtl w:val="0"/>
          <w:lang w:val="zh-TW" w:eastAsia="zh-TW"/>
        </w:rPr>
        <w:t>性別平等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zh-TW" w:eastAsia="zh-TW"/>
        </w:rPr>
        <w:t>相關單元</w:t>
      </w:r>
      <w:r>
        <w:rPr>
          <w:rFonts w:ascii="微軟正黑體" w:cs="微軟正黑體" w:hAnsi="微軟正黑體" w:eastAsia="微軟正黑體"/>
          <w:b w:val="1"/>
          <w:bCs w:val="1"/>
          <w:shd w:val="clear" w:color="auto" w:fill="ffff00"/>
          <w:rtl w:val="0"/>
          <w:lang w:val="en-US"/>
        </w:rPr>
        <w:t>)</w:t>
      </w:r>
    </w:p>
    <w:tbl>
      <w:tblPr>
        <w:tblW w:w="104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0"/>
        <w:gridCol w:w="200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2"/>
        <w:gridCol w:w="1474"/>
        <w:gridCol w:w="425"/>
        <w:gridCol w:w="496"/>
        <w:gridCol w:w="478"/>
        <w:gridCol w:w="160"/>
        <w:gridCol w:w="1275"/>
        <w:gridCol w:w="1262"/>
      </w:tblGrid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Fonts w:ascii="微軟正黑體" w:cs="微軟正黑體" w:hAnsi="微軟正黑體" w:eastAsia="微軟正黑體"/>
                <w:shd w:val="nil" w:color="auto" w:fill="auto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融入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shd w:val="nil" w:color="auto" w:fill="auto"/>
                <w:rtl w:val="0"/>
                <w:lang w:val="zh-TW" w:eastAsia="zh-TW"/>
              </w:rPr>
              <w:t>議題</w:t>
            </w:r>
          </w:p>
        </w:tc>
        <w:tc>
          <w:tcPr>
            <w:tcW w:type="dxa" w:w="1292"/>
            <w:gridSpan w:val="5"/>
            <w:tcBorders>
              <w:top w:val="single" w:color="000000" w:sz="1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品德教育</w:t>
            </w:r>
          </w:p>
        </w:tc>
        <w:tc>
          <w:tcPr>
            <w:tcW w:type="dxa" w:w="1148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2.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環境教育</w:t>
            </w:r>
          </w:p>
        </w:tc>
        <w:tc>
          <w:tcPr>
            <w:tcW w:type="dxa" w:w="1771"/>
            <w:gridSpan w:val="2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3.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法治教育</w:t>
            </w:r>
          </w:p>
        </w:tc>
        <w:tc>
          <w:tcPr>
            <w:tcW w:type="dxa" w:w="147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4.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永續發展</w:t>
            </w:r>
          </w:p>
        </w:tc>
        <w:tc>
          <w:tcPr>
            <w:tcW w:type="dxa" w:w="1559"/>
            <w:gridSpan w:val="4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海洋教育</w:t>
            </w:r>
          </w:p>
        </w:tc>
        <w:tc>
          <w:tcPr>
            <w:tcW w:type="dxa" w:w="1275"/>
            <w:tcBorders>
              <w:top w:val="single" w:color="000000" w:sz="1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"http://www.edu.tw/files/site_content/B0055/5%E4%BA%BA%E6%AC%8A%E6%95%99%E8%82%B2%E8%AD%B0%E9%A1%8C1000111.pdf"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人權教育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261"/>
            <w:tcBorders>
              <w:top w:val="single" w:color="000000" w:sz="18" w:space="0" w:shadow="0" w:frame="0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7.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生命教育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92"/>
            <w:gridSpan w:val="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8.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家庭教育</w:t>
            </w:r>
          </w:p>
        </w:tc>
        <w:tc>
          <w:tcPr>
            <w:tcW w:type="dxa" w:w="114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clear" w:color="auto" w:fill="ffff00"/>
                <w:rtl w:val="0"/>
                <w:lang w:val="en-US"/>
              </w:rPr>
              <w:t>9.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clear" w:color="auto" w:fill="ffff00"/>
                <w:rtl w:val="0"/>
                <w:lang w:val="zh-TW" w:eastAsia="zh-TW"/>
              </w:rPr>
              <w:t>勞動教育</w:t>
            </w:r>
          </w:p>
        </w:tc>
        <w:tc>
          <w:tcPr>
            <w:tcW w:type="dxa" w:w="177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10.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begin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instrText xml:space="preserve"> HYPERLINK "http://www.edu.tw/files/site_content/B0055/6%E7%94%9F%E6%B6%AF%E7%99%BC%E5%B1%95%E6%95%99%E8%82%B2%E8%AD%B0%E9%A1%8C991229.pdf"</w:instrTex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lang w:val="zh-TW" w:eastAsia="zh-TW"/>
              </w:rPr>
              <w:fldChar w:fldCharType="separate" w:fldLock="0"/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多元文化教育</w:t>
            </w:r>
            <w:r>
              <w:rPr>
                <w:rFonts w:ascii="微軟正黑體" w:cs="微軟正黑體" w:hAnsi="微軟正黑體" w:eastAsia="微軟正黑體"/>
                <w:sz w:val="18"/>
                <w:szCs w:val="18"/>
              </w:rPr>
              <w:fldChar w:fldCharType="end" w:fldLock="0"/>
            </w:r>
          </w:p>
        </w:tc>
        <w:tc>
          <w:tcPr>
            <w:tcW w:type="dxa" w:w="14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11.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clear" w:color="auto" w:fill="ffff00"/>
                <w:rtl w:val="0"/>
                <w:lang w:val="zh-TW" w:eastAsia="zh-TW"/>
              </w:rPr>
              <w:t>性別平等教育</w:t>
            </w:r>
          </w:p>
        </w:tc>
        <w:tc>
          <w:tcPr>
            <w:tcW w:type="dxa" w:w="155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12.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生涯發展教育</w:t>
            </w:r>
          </w:p>
        </w:tc>
        <w:tc>
          <w:tcPr>
            <w:tcW w:type="dxa" w:w="2536"/>
            <w:gridSpan w:val="2"/>
            <w:tcBorders>
              <w:top w:val="nil"/>
              <w:left w:val="nil"/>
              <w:bottom w:val="nil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13.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消費者保護教育</w:t>
            </w:r>
          </w:p>
        </w:tc>
      </w:tr>
      <w:tr>
        <w:tblPrEx>
          <w:shd w:val="clear" w:color="auto" w:fill="ced7e7"/>
        </w:tblPrEx>
        <w:trPr>
          <w:trHeight w:val="283" w:hRule="atLeast"/>
        </w:trPr>
        <w:tc>
          <w:tcPr>
            <w:tcW w:type="dxa" w:w="680"/>
            <w:gridSpan w:val="2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440"/>
            <w:gridSpan w:val="9"/>
            <w:tcBorders>
              <w:top w:val="nil"/>
              <w:left w:val="single" w:color="000000" w:sz="4" w:space="0" w:shadow="0" w:frame="0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14.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 xml:space="preserve"> 新移民多元文化教育</w:t>
            </w:r>
          </w:p>
        </w:tc>
        <w:tc>
          <w:tcPr>
            <w:tcW w:type="dxa" w:w="3245"/>
            <w:gridSpan w:val="3"/>
            <w:tcBorders>
              <w:top w:val="nil"/>
              <w:left w:val="nil"/>
              <w:bottom w:val="single" w:color="000000" w:sz="1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15.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家庭暴力及性侵性騷教育</w:t>
            </w:r>
          </w:p>
        </w:tc>
        <w:tc>
          <w:tcPr>
            <w:tcW w:type="dxa" w:w="4096"/>
            <w:gridSpan w:val="6"/>
            <w:tcBorders>
              <w:top w:val="nil"/>
              <w:left w:val="nil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16.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 xml:space="preserve"> 其他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zh-TW" w:eastAsia="zh-TW"/>
              </w:rPr>
              <w:t>請說明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道德教育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…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無"/>
                <w:rFonts w:ascii="微軟正黑體" w:cs="微軟正黑體" w:hAnsi="微軟正黑體" w:eastAsia="微軟正黑體"/>
                <w:sz w:val="18"/>
                <w:szCs w:val="18"/>
                <w:u w:val="single"/>
                <w:shd w:val="nil" w:color="auto" w:fill="auto"/>
                <w:rtl w:val="0"/>
                <w:lang w:val="zh-TW" w:eastAsia="zh-TW"/>
              </w:rPr>
              <w:t>等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份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日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Style w:val="無"/>
                <w:rFonts w:ascii="微軟正黑體" w:cs="微軟正黑體" w:hAnsi="微軟正黑體" w:eastAsia="微軟正黑體"/>
                <w:b w:val="0"/>
                <w:b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510"/>
            <w:gridSpan w:val="3"/>
            <w:tcBorders>
              <w:top w:val="single" w:color="000000" w:sz="18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292"/>
              <w:bottom w:type="dxa" w:w="80"/>
              <w:right w:type="dxa" w:w="292"/>
            </w:tcMar>
            <w:vAlign w:val="center"/>
          </w:tcPr>
          <w:p>
            <w:pPr>
              <w:pStyle w:val="內文 A"/>
              <w:spacing w:line="20" w:lineRule="atLeast"/>
              <w:ind w:left="212" w:right="212" w:firstLine="0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kern w:val="0"/>
                <w:sz w:val="24"/>
                <w:szCs w:val="24"/>
                <w:shd w:val="nil" w:color="auto" w:fill="auto"/>
                <w:rtl w:val="0"/>
                <w:lang w:val="zh-TW" w:eastAsia="zh-TW"/>
              </w:rPr>
              <w:t>預定進度</w:t>
            </w:r>
          </w:p>
        </w:tc>
        <w:tc>
          <w:tcPr>
            <w:tcW w:type="dxa" w:w="495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資訊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478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議題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融入</w:t>
            </w:r>
          </w:p>
        </w:tc>
        <w:tc>
          <w:tcPr>
            <w:tcW w:type="dxa" w:w="2696"/>
            <w:gridSpan w:val="3"/>
            <w:tcBorders>
              <w:top w:val="single" w:color="000000" w:sz="1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169"/>
            </w:tcMar>
            <w:vAlign w:val="center"/>
          </w:tcPr>
          <w:p>
            <w:pPr>
              <w:pStyle w:val="內文 A"/>
              <w:spacing w:line="20" w:lineRule="atLeast"/>
              <w:ind w:left="89" w:right="89" w:firstLine="0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4"/>
                <w:szCs w:val="24"/>
                <w:shd w:val="nil" w:color="auto" w:fill="auto"/>
                <w:rtl w:val="0"/>
                <w:lang w:val="zh-TW" w:eastAsia="zh-TW"/>
              </w:rPr>
              <w:t>重要行事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480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音樂劇風雲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黃金組合</w:t>
            </w:r>
          </w:p>
        </w:tc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無"/>
                <w:rFonts w:ascii="微軟正黑體" w:cs="微軟正黑體" w:hAnsi="微軟正黑體" w:eastAsia="微軟正黑體"/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zh-TW" w:eastAsia="zh-TW"/>
                <w14:textFill>
                  <w14:solidFill>
                    <w14:srgbClr w14:val="222222"/>
                  </w14:solidFill>
                </w14:textFill>
              </w:rPr>
              <w:t>期初教學研究會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國七八本位課程會議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開學、大掃除、正式上課、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16:00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放學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幹部訓練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國中、高一高二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聯課介紹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新生拍證件照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九</w:t>
            </w:r>
          </w:p>
          <w:p>
            <w:pPr>
              <w:pStyle w:val="內文 A"/>
              <w:bidi w:val="0"/>
              <w:spacing w:line="3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cs="微軟正黑體" w:hAnsi="Calibri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音樂劇風雲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英國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VS</w:t>
            </w: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美國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國八九輔導課開始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國中電子生涯手冊暨特教知能研習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國八本位選課說明會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7-10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國八本位線上選課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7-8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國九第一次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clear" w:color="auto" w:fill="ffffff"/>
                <w:rtl w:val="0"/>
                <w:lang w:val="zh-TW" w:eastAsia="zh-TW"/>
              </w:rPr>
              <w:t>模擬考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補行上班上課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</w:t>
            </w:r>
            <w:r>
              <w:rPr>
                <w:rStyle w:val="無"/>
                <w:rFonts w:ascii="微軟正黑體" w:cs="微軟正黑體" w:hAnsi="微軟正黑體" w:eastAsia="微軟正黑體"/>
                <w:strike w:val="0"/>
                <w:dstrike w:val="0"/>
                <w:sz w:val="20"/>
                <w:szCs w:val="20"/>
                <w:shd w:val="nil" w:color="auto" w:fill="auto"/>
                <w:rtl w:val="0"/>
                <w:lang w:val="en-US"/>
              </w:rPr>
              <w:t>9/20)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音樂劇風雲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歌劇魅影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國中導師會議</w:t>
            </w:r>
          </w:p>
          <w:p>
            <w:pPr>
              <w:pStyle w:val="內文 A"/>
              <w:widowControl w:val="1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國中高關懷期初會議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 9:21-10:00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防災演練預演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 9:21-10:00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國家防災日校園防災演練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教學大綱及班級經營上傳截止</w:t>
            </w:r>
          </w:p>
        </w:tc>
      </w:tr>
      <w:tr>
        <w:tblPrEx>
          <w:shd w:val="clear" w:color="auto" w:fill="ced7e7"/>
        </w:tblPrEx>
        <w:trPr>
          <w:trHeight w:val="198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音樂劇風雲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獅子王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調整放假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中秋節放假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國九多元能力開發班始業式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技職教育課程家長說明會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學校日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家長代表大會</w:t>
            </w:r>
          </w:p>
        </w:tc>
      </w:tr>
      <w:tr>
        <w:tblPrEx>
          <w:shd w:val="clear" w:color="auto" w:fill="ced7e7"/>
        </w:tblPrEx>
        <w:trPr>
          <w:trHeight w:val="144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五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音樂劇風雲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悲慘世界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27-28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國七新生健檢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校內科展開始報名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教師節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國七尿液複篩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國八女生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HPV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接種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音樂劇風雲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Arial Unicode MS" w:cs="Arial Unicode MS" w:hAnsi="Arial Unicode MS" w:eastAsia="Helvetica Neue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台灣自製音樂劇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國九晚自習開始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Imovie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短片製作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國慶日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13-14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次期中考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認輔老師會議</w:t>
            </w:r>
          </w:p>
        </w:tc>
      </w:tr>
      <w:tr>
        <w:tblPrEx>
          <w:shd w:val="clear" w:color="auto" w:fill="ced7e7"/>
        </w:tblPrEx>
        <w:trPr>
          <w:trHeight w:val="197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Imovie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短片製作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全校導師會議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期中教學研究會週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公開授課週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特教線上知能研習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18-11/9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臺北市五項藝術比賽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田徑單項計時決賽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ab/>
              <w:t>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全校大隊接力預賽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Imovie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短片製作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國七健身操比賽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國八啦啦隊比賽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校內科展報名截止</w:t>
            </w:r>
          </w:p>
        </w:tc>
      </w:tr>
      <w:tr>
        <w:tblPrEx>
          <w:shd w:val="clear" w:color="auto" w:fill="ced7e7"/>
        </w:tblPrEx>
        <w:trPr>
          <w:trHeight w:val="88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Imovie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短片製作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5 58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週年校慶預演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6 58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週年校慶暨園遊會、班際大隊接力決賽</w:t>
            </w:r>
          </w:p>
        </w:tc>
      </w:tr>
      <w:tr>
        <w:tblPrEx>
          <w:shd w:val="clear" w:color="auto" w:fill="ced7e7"/>
        </w:tblPrEx>
        <w:trPr>
          <w:trHeight w:val="114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一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新細明體" w:cs="新細明體" w:hAnsi="新細明體" w:eastAsia="新細明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十一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hd w:val="clear" w:color="auto" w:fill="fbe4d5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Imovie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短片製作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校慶補假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全校學生流感疫苗接種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暫定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專任老師座談會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十二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Imovie</w:t>
            </w: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短片製作</w:t>
            </w: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15-19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國語文競賽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15-19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八九年級職群試探活動</w:t>
            </w:r>
          </w:p>
        </w:tc>
      </w:tr>
      <w:tr>
        <w:tblPrEx>
          <w:shd w:val="clear" w:color="auto" w:fill="ced7e7"/>
        </w:tblPrEx>
        <w:trPr>
          <w:trHeight w:val="58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十三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『偶』像大觀園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認識不同國家的偶戲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多元能力開發班結業式</w:t>
            </w:r>
          </w:p>
        </w:tc>
      </w:tr>
      <w:tr>
        <w:tblPrEx>
          <w:shd w:val="clear" w:color="auto" w:fill="ced7e7"/>
        </w:tblPrEx>
        <w:trPr>
          <w:trHeight w:val="144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Style w:val="無"/>
                <w:rFonts w:eastAsia="標楷體" w:hint="eastAsia"/>
                <w:shd w:val="nil" w:color="auto" w:fill="auto"/>
                <w:rtl w:val="0"/>
                <w:lang w:val="zh-TW" w:eastAsia="zh-TW"/>
              </w:rPr>
              <w:t>十四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『偶』像大觀園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認識台灣傳統偶戲與操作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國中導師會議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領航者社群校際交流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2-3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第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次期中考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國八社區高級中等學校專業群科參訪活動</w:t>
            </w:r>
          </w:p>
        </w:tc>
      </w:tr>
      <w:tr>
        <w:tblPrEx>
          <w:shd w:val="clear" w:color="auto" w:fill="ced7e7"/>
        </w:tblPrEx>
        <w:trPr>
          <w:trHeight w:val="606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Style w:val="無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新細明體" w:cs="新細明體" w:hAnsi="新細明體" w:eastAsia="新細明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十五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『偶』像大觀園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認識台灣布袋戲的發展史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6-17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公開授課週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六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『偶』像大觀園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台灣現代偶戲的應用與發展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13-17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期末教學研究會週</w:t>
            </w:r>
          </w:p>
        </w:tc>
      </w:tr>
      <w:tr>
        <w:tblPrEx>
          <w:shd w:val="clear" w:color="auto" w:fill="ced7e7"/>
        </w:tblPrEx>
        <w:trPr>
          <w:trHeight w:val="170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七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反骨藝術新浪潮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認識現代舞、後現代舞、舞蹈劇場和舞蹈科技的特色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國中德行審查暨期末高關懷會議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20-24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作業抽查週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國中課程核心小組會議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感飢日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23-24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國九第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次模擬考</w:t>
            </w:r>
          </w:p>
        </w:tc>
      </w:tr>
      <w:tr>
        <w:tblPrEx>
          <w:shd w:val="clear" w:color="auto" w:fill="ced7e7"/>
        </w:tblPrEx>
        <w:trPr>
          <w:trHeight w:val="1725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28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八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49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反骨藝術新浪潮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賞析現代舞、後現代舞、舞蹈劇場和舞蹈科技之美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英語文競賽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27-1/7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校內科展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國中課發會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28-1/4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國八下學期本位選課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補行放假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開國紀念日</w:t>
            </w:r>
          </w:p>
        </w:tc>
      </w:tr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480"/>
            <w:vMerge w:val="restart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111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Style w:val="無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元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月</w:t>
            </w:r>
          </w:p>
        </w:tc>
        <w:tc>
          <w:tcPr>
            <w:tcW w:type="dxa" w:w="360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320" w:lineRule="exact"/>
              <w:jc w:val="center"/>
              <w:rPr>
                <w:rStyle w:val="無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十</w:t>
            </w:r>
          </w:p>
          <w:p>
            <w:pPr>
              <w:pStyle w:val="內文 A"/>
              <w:bidi w:val="0"/>
              <w:spacing w:line="32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rFonts w:ascii="微軟正黑體" w:cs="微軟正黑體" w:hAnsi="微軟正黑體" w:eastAsia="微軟正黑體"/>
                <w:sz w:val="22"/>
                <w:szCs w:val="22"/>
                <w:shd w:val="nil" w:color="auto" w:fill="auto"/>
                <w:rtl w:val="0"/>
                <w:lang w:val="zh-TW" w:eastAsia="zh-TW"/>
              </w:rPr>
              <w:t>九</w:t>
            </w:r>
          </w:p>
        </w:tc>
        <w:tc>
          <w:tcPr>
            <w:tcW w:type="dxa" w:w="36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80" w:lineRule="exact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37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22"/>
            <w:gridSpan w:val="2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4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48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cs="微軟正黑體" w:hAnsi="Times New Roman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反骨藝術新浪潮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體驗舞動身體的樂趣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儷宋 Pro" w:cs="Arial Unicode MS" w:hAnsi="儷宋 Pro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✓</w:t>
            </w:r>
          </w:p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3-14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身障生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IEP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聯絡簿抽查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領航者社群會議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rStyle w:val="無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二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十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微軟正黑體" w:cs="微軟正黑體" w:hAnsi="微軟正黑體" w:eastAsia="微軟正黑體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期末測驗</w:t>
            </w:r>
          </w:p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13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國八輔導課結束</w:t>
            </w:r>
          </w:p>
        </w:tc>
      </w:tr>
      <w:tr>
        <w:tblPrEx>
          <w:shd w:val="clear" w:color="auto" w:fill="ced7e7"/>
        </w:tblPrEx>
        <w:trPr>
          <w:trHeight w:val="1988" w:hRule="atLeast"/>
        </w:trPr>
        <w:tc>
          <w:tcPr>
            <w:tcW w:type="dxa" w:w="480"/>
            <w:vMerge w:val="continue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eastAsia="標楷體" w:hint="eastAsia"/>
                <w:sz w:val="20"/>
                <w:szCs w:val="20"/>
                <w:shd w:val="nil" w:color="auto" w:fill="auto"/>
                <w:rtl w:val="0"/>
                <w:lang w:val="zh-TW" w:eastAsia="zh-TW"/>
              </w:rPr>
              <w:t>廿一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fbe4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Style w:val="無"/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51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6"/>
            <w:gridSpan w:val="3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國九輔導課、晚自習結束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17-18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國九期末考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18-19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國七八期末考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19-21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 xml:space="preserve"> 國九教育旅行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休業式、</w:t>
            </w: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10:10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校務會議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21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寒假開始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Style w:val="無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en-US"/>
              </w:rPr>
              <w:t>22</w:t>
            </w:r>
            <w:r>
              <w:rPr>
                <w:rStyle w:val="Hyperlink.0"/>
                <w:rFonts w:ascii="微軟正黑體" w:cs="微軟正黑體" w:hAnsi="微軟正黑體" w:eastAsia="微軟正黑體"/>
                <w:sz w:val="20"/>
                <w:szCs w:val="20"/>
                <w:shd w:val="nil" w:color="auto" w:fill="auto"/>
                <w:rtl w:val="0"/>
                <w:lang w:val="zh-TW" w:eastAsia="zh-TW"/>
              </w:rPr>
              <w:t>補行上班</w:t>
            </w:r>
          </w:p>
        </w:tc>
      </w:tr>
    </w:tbl>
    <w:p>
      <w:pPr>
        <w:pStyle w:val="內文 A"/>
        <w:jc w:val="center"/>
      </w:pPr>
      <w:r>
        <w:rPr>
          <w:rStyle w:val="無"/>
          <w:rFonts w:ascii="微軟正黑體" w:cs="微軟正黑體" w:hAnsi="微軟正黑體" w:eastAsia="微軟正黑體"/>
          <w:b w:val="1"/>
          <w:bCs w:val="1"/>
          <w:sz w:val="32"/>
          <w:szCs w:val="32"/>
        </w:rPr>
      </w:r>
    </w:p>
    <w:sectPr>
      <w:headerReference w:type="default" r:id="rId6"/>
      <w:pgSz w:w="11900" w:h="16840" w:orient="portrait"/>
      <w:pgMar w:top="284" w:right="284" w:bottom="284" w:left="284" w:header="851" w:footer="21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TC Regular">
    <w:charset w:val="00"/>
    <w:family w:val="roman"/>
    <w:pitch w:val="default"/>
  </w:font>
  <w:font w:name="標楷體">
    <w:charset w:val="00"/>
    <w:family w:val="roman"/>
    <w:pitch w:val="default"/>
  </w:font>
  <w:font w:name="微軟正黑體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儷宋 Pro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尾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taiwaneseCounting"/>
      <w:suff w:val="tab"/>
      <w:lvlText w:val="%1."/>
      <w:lvlJc w:val="left"/>
      <w:pPr>
        <w:tabs>
          <w:tab w:val="num" w:pos="480"/>
        </w:tabs>
        <w:ind w:left="56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chineseCounting"/>
      <w:suff w:val="tab"/>
      <w:lvlText w:val="%2."/>
      <w:lvlJc w:val="left"/>
      <w:pPr>
        <w:tabs>
          <w:tab w:val="num" w:pos="960"/>
        </w:tabs>
        <w:ind w:left="10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104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920"/>
        </w:tabs>
        <w:ind w:left="200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chineseCounting"/>
      <w:suff w:val="tab"/>
      <w:lvlText w:val="%5."/>
      <w:lvlJc w:val="left"/>
      <w:pPr>
        <w:tabs>
          <w:tab w:val="num" w:pos="2400"/>
        </w:tabs>
        <w:ind w:left="248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48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360"/>
        </w:tabs>
        <w:ind w:left="344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chineseCounting"/>
      <w:suff w:val="tab"/>
      <w:lvlText w:val="%8."/>
      <w:lvlJc w:val="left"/>
      <w:pPr>
        <w:tabs>
          <w:tab w:val="num" w:pos="3840"/>
        </w:tabs>
        <w:ind w:left="3926" w:hanging="5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926" w:hanging="2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TC Regular" w:cs="Arial Unicode MS" w:hAnsi="PingFang T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問候">
    <w:name w:val="問候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標楷體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6"/>
      <w:szCs w:val="2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無">
    <w:name w:val="無"/>
  </w:style>
  <w:style w:type="character" w:styleId="Hyperlink.0">
    <w:name w:val="Hyperlink.0"/>
    <w:basedOn w:val="無"/>
    <w:next w:val="Hyperlink.0"/>
    <w:rPr>
      <w:shd w:val="nil" w:color="auto" w:fill="auto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PingFang TC Semibold"/>
        <a:cs typeface="PingFang TC Semibold"/>
      </a:majorFont>
      <a:minorFont>
        <a:latin typeface="PingFang TC Regular"/>
        <a:ea typeface="PingFang TC Regular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